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E" w:rsidRPr="00F414B5" w:rsidRDefault="00756320" w:rsidP="00F414B5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4F6228" w:themeColor="accent3" w:themeShade="8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05000" cy="1971675"/>
            <wp:effectExtent l="0" t="0" r="0" b="9525"/>
            <wp:docPr id="1" name="Рисунок 1" descr="http://semicvetik86.ru/attachments/Image/p107_priglashenie-tak-1-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cvetik86.ru/attachments/Image/p107_priglashenie-tak-1-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8E" w:rsidRPr="00F414B5">
        <w:rPr>
          <w:rStyle w:val="a5"/>
          <w:rFonts w:ascii="Times New Roman" w:hAnsi="Times New Roman" w:cs="Times New Roman"/>
          <w:color w:val="4F6228" w:themeColor="accent3" w:themeShade="80"/>
          <w:sz w:val="40"/>
          <w:szCs w:val="40"/>
          <w:shd w:val="clear" w:color="auto" w:fill="FFFFFF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197A27" w:rsidRDefault="00197A27" w:rsidP="0023348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48E" w:rsidRPr="0023348E" w:rsidRDefault="0023348E" w:rsidP="002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48E" w:rsidTr="00F41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3348E" w:rsidRPr="00747B8D" w:rsidRDefault="0023348E" w:rsidP="0023348E">
            <w:pPr>
              <w:pStyle w:val="a7"/>
              <w:jc w:val="center"/>
              <w:rPr>
                <w:i/>
                <w:color w:val="FF0000"/>
                <w:sz w:val="32"/>
                <w:szCs w:val="32"/>
              </w:rPr>
            </w:pPr>
            <w:r w:rsidRPr="00747B8D">
              <w:rPr>
                <w:i/>
                <w:color w:val="FF0000"/>
                <w:sz w:val="32"/>
                <w:szCs w:val="32"/>
              </w:rPr>
              <w:t>Наименование показателя</w:t>
            </w:r>
          </w:p>
          <w:p w:rsidR="0023348E" w:rsidRPr="00747B8D" w:rsidRDefault="0023348E" w:rsidP="0023348E">
            <w:pPr>
              <w:pStyle w:val="a7"/>
              <w:jc w:val="center"/>
              <w:rPr>
                <w:i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23348E" w:rsidRPr="00747B8D" w:rsidRDefault="0023348E" w:rsidP="0023348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  <w:r w:rsidRPr="00747B8D">
              <w:rPr>
                <w:i/>
                <w:color w:val="FF0000"/>
                <w:sz w:val="32"/>
                <w:szCs w:val="32"/>
              </w:rPr>
              <w:t>Перечень специальных условий, имеющихся в образовательном учрежд</w:t>
            </w:r>
            <w:bookmarkStart w:id="0" w:name="_GoBack"/>
            <w:bookmarkEnd w:id="0"/>
            <w:r w:rsidRPr="00747B8D">
              <w:rPr>
                <w:i/>
                <w:color w:val="FF0000"/>
                <w:sz w:val="32"/>
                <w:szCs w:val="32"/>
              </w:rPr>
              <w:t>ении</w:t>
            </w:r>
          </w:p>
          <w:p w:rsidR="0023348E" w:rsidRPr="00747B8D" w:rsidRDefault="0023348E" w:rsidP="0023348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</w:p>
        </w:tc>
      </w:tr>
      <w:tr w:rsidR="0023348E" w:rsidTr="00F4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3348E" w:rsidRDefault="0023348E" w:rsidP="0023348E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  <w:p w:rsidR="0023348E" w:rsidRDefault="0023348E" w:rsidP="0023348E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23348E" w:rsidRDefault="0023348E" w:rsidP="0023348E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23348E" w:rsidRDefault="0023348E" w:rsidP="0023348E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Специально предусмотренные и оборудованные помещения отсутствуют.</w:t>
            </w:r>
          </w:p>
          <w:p w:rsidR="0023348E" w:rsidRDefault="0023348E" w:rsidP="0023348E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Адаптированн</w:t>
            </w:r>
            <w:r>
              <w:rPr>
                <w:color w:val="000000"/>
                <w:sz w:val="27"/>
                <w:szCs w:val="27"/>
              </w:rPr>
              <w:t>ая</w:t>
            </w:r>
            <w:r>
              <w:rPr>
                <w:color w:val="000000"/>
                <w:sz w:val="27"/>
                <w:szCs w:val="27"/>
              </w:rPr>
              <w:t xml:space="preserve"> образовательн</w:t>
            </w:r>
            <w:r>
              <w:rPr>
                <w:color w:val="000000"/>
                <w:sz w:val="27"/>
                <w:szCs w:val="27"/>
              </w:rPr>
              <w:t>ая программа есть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3348E" w:rsidRDefault="0023348E" w:rsidP="002334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23348E" w:rsidTr="00F41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3348E" w:rsidRDefault="0023348E" w:rsidP="0023348E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197A27" w:rsidRDefault="00197A27" w:rsidP="00197A27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Центральный вход оборудован</w:t>
            </w: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звонком.</w:t>
            </w:r>
          </w:p>
          <w:p w:rsidR="00197A27" w:rsidRDefault="00197A27" w:rsidP="00197A27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Конструктивные особенности здания МАДОУ детский сад № 6 не предусматривают наличие подъемников.</w:t>
            </w:r>
          </w:p>
          <w:p w:rsidR="00197A27" w:rsidRDefault="00197A27" w:rsidP="00197A27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Тактильные плитки, напольные метки, устройства для закрепления инвалидных колясок, поручни внутри </w:t>
            </w:r>
            <w:r>
              <w:rPr>
                <w:color w:val="000000"/>
                <w:sz w:val="27"/>
                <w:szCs w:val="27"/>
              </w:rPr>
              <w:lastRenderedPageBreak/>
              <w:t>помещений, в образовательной организации отсутствуют.</w:t>
            </w:r>
          </w:p>
          <w:p w:rsidR="00197A27" w:rsidRDefault="00197A27" w:rsidP="00197A27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23348E" w:rsidRDefault="0023348E" w:rsidP="002334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23348E" w:rsidTr="00F4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97A27" w:rsidRDefault="00197A27" w:rsidP="00197A27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  <w:p w:rsidR="0023348E" w:rsidRDefault="0023348E" w:rsidP="0023348E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97A27" w:rsidRDefault="00197A27" w:rsidP="00197A27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Для воспитаннико</w:t>
            </w:r>
            <w:r>
              <w:rPr>
                <w:color w:val="000000"/>
                <w:sz w:val="27"/>
                <w:szCs w:val="27"/>
              </w:rPr>
              <w:t xml:space="preserve">в </w:t>
            </w:r>
            <w:r>
              <w:rPr>
                <w:color w:val="000000"/>
                <w:sz w:val="27"/>
                <w:szCs w:val="27"/>
              </w:rPr>
              <w:t>ДОУ предусматривается организация 3-х</w:t>
            </w:r>
            <w:r>
              <w:rPr>
                <w:color w:val="000000"/>
                <w:sz w:val="27"/>
                <w:szCs w:val="27"/>
              </w:rPr>
              <w:t xml:space="preserve"> разового питания (плюс второй полдник)</w:t>
            </w:r>
            <w:r>
              <w:rPr>
                <w:color w:val="000000"/>
                <w:sz w:val="27"/>
                <w:szCs w:val="27"/>
              </w:rPr>
              <w:t xml:space="preserve"> питания, по 10-ти дневному меню.</w:t>
            </w:r>
          </w:p>
          <w:p w:rsidR="0023348E" w:rsidRDefault="00197A27" w:rsidP="00197A27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отдельного меню для инвалидов и лиц с ОВЗ не практикуется</w:t>
            </w:r>
          </w:p>
        </w:tc>
      </w:tr>
      <w:tr w:rsidR="0023348E" w:rsidTr="00F41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97A27" w:rsidRDefault="00197A27" w:rsidP="00197A27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23348E" w:rsidRDefault="0023348E" w:rsidP="0023348E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97A27" w:rsidRDefault="00197A27" w:rsidP="00197A27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Здани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 ДОУ оснащен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  <w:r>
              <w:rPr>
                <w:color w:val="000000"/>
                <w:sz w:val="27"/>
                <w:szCs w:val="27"/>
              </w:rPr>
              <w:t xml:space="preserve"> Имеется система видеонаблюдения, кнопка тревожной сигнализации</w:t>
            </w:r>
          </w:p>
          <w:p w:rsidR="00197A27" w:rsidRDefault="00197A27" w:rsidP="00197A27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Для оказания доврачебной первичной медицинской помощи  функционирует медицинский кабинет.</w:t>
            </w:r>
          </w:p>
          <w:p w:rsidR="0023348E" w:rsidRDefault="0023348E" w:rsidP="002334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197A27" w:rsidTr="00F4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197A27" w:rsidRDefault="00197A27" w:rsidP="00197A27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Доступ к информационным системам и информационн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197A27" w:rsidRDefault="00197A27" w:rsidP="00197A2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97A27" w:rsidRDefault="00197A27" w:rsidP="00197A27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Информационная база ДОУ оснащена: - электронной почтой; - выходом в Интернет; - функционирует официальный сайт ДОУ.</w:t>
            </w:r>
          </w:p>
          <w:p w:rsidR="00197A27" w:rsidRDefault="00197A27" w:rsidP="00197A27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 ДОУ имеются мультимедийные средства обучения (экран, проектор), аудиотехника (музыкальный центр), компьютер, принтер.</w:t>
            </w:r>
          </w:p>
          <w:p w:rsidR="00197A27" w:rsidRDefault="00197A27" w:rsidP="00197A27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специальных технических средств обучения коллективного и индивидуального использования для инвалидов и лиц с ограниченными </w:t>
            </w:r>
            <w:r>
              <w:rPr>
                <w:color w:val="000000"/>
                <w:sz w:val="27"/>
                <w:szCs w:val="27"/>
              </w:rPr>
              <w:lastRenderedPageBreak/>
              <w:t>возможностями здоровья</w:t>
            </w:r>
          </w:p>
          <w:p w:rsidR="00197A27" w:rsidRDefault="00197A27" w:rsidP="002334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197A27" w:rsidTr="00F41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222DB" w:rsidRDefault="002222DB" w:rsidP="002222DB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  <w:p w:rsidR="00197A27" w:rsidRDefault="00197A27" w:rsidP="00197A2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2222DB" w:rsidRDefault="002222DB" w:rsidP="002222DB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</w:t>
            </w:r>
            <w:r>
              <w:rPr>
                <w:color w:val="000000"/>
                <w:sz w:val="27"/>
                <w:szCs w:val="27"/>
              </w:rPr>
              <w:t>имеется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197A27" w:rsidRDefault="00197A27" w:rsidP="002334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2222DB" w:rsidTr="00F4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2222DB" w:rsidRDefault="002222DB" w:rsidP="002222DB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Кадровое обеспечение образования</w:t>
            </w:r>
          </w:p>
          <w:p w:rsidR="002222DB" w:rsidRDefault="002222DB" w:rsidP="002222DB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2222DB" w:rsidRDefault="002222DB" w:rsidP="002222DB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4973CB" w:rsidRDefault="004973CB" w:rsidP="004973CB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  <w:p w:rsidR="002222DB" w:rsidRDefault="002222DB" w:rsidP="002222DB">
            <w:pPr>
              <w:pStyle w:val="a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973CB" w:rsidTr="00F41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4973CB" w:rsidRDefault="004973CB" w:rsidP="004973CB">
            <w:pPr>
              <w:pStyle w:val="a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4973CB" w:rsidRDefault="004973CB" w:rsidP="002222DB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4973CB" w:rsidRDefault="004973CB" w:rsidP="004973CB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нет</w:t>
            </w:r>
          </w:p>
        </w:tc>
      </w:tr>
    </w:tbl>
    <w:p w:rsidR="0023348E" w:rsidRDefault="0023348E" w:rsidP="0023348E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3348E" w:rsidRPr="0023348E" w:rsidRDefault="0023348E" w:rsidP="002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28" w:rsidRPr="0023348E" w:rsidRDefault="0023348E" w:rsidP="0023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Паспорт доступности</w:t>
      </w:r>
      <w:r w:rsidRPr="0023348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233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C3E28" w:rsidRPr="0023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2064"/>
    <w:multiLevelType w:val="multilevel"/>
    <w:tmpl w:val="8FD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B"/>
    <w:rsid w:val="00197A27"/>
    <w:rsid w:val="002222DB"/>
    <w:rsid w:val="0023348E"/>
    <w:rsid w:val="004973CB"/>
    <w:rsid w:val="00747B8D"/>
    <w:rsid w:val="00756320"/>
    <w:rsid w:val="00C55F9B"/>
    <w:rsid w:val="00F414B5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48E"/>
    <w:rPr>
      <w:b/>
      <w:bCs/>
    </w:rPr>
  </w:style>
  <w:style w:type="character" w:styleId="a6">
    <w:name w:val="Emphasis"/>
    <w:basedOn w:val="a0"/>
    <w:uiPriority w:val="20"/>
    <w:qFormat/>
    <w:rsid w:val="0023348E"/>
    <w:rPr>
      <w:i/>
      <w:iCs/>
    </w:rPr>
  </w:style>
  <w:style w:type="paragraph" w:styleId="a7">
    <w:name w:val="No Spacing"/>
    <w:basedOn w:val="a"/>
    <w:uiPriority w:val="1"/>
    <w:qFormat/>
    <w:rsid w:val="002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414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48E"/>
    <w:rPr>
      <w:b/>
      <w:bCs/>
    </w:rPr>
  </w:style>
  <w:style w:type="character" w:styleId="a6">
    <w:name w:val="Emphasis"/>
    <w:basedOn w:val="a0"/>
    <w:uiPriority w:val="20"/>
    <w:qFormat/>
    <w:rsid w:val="0023348E"/>
    <w:rPr>
      <w:i/>
      <w:iCs/>
    </w:rPr>
  </w:style>
  <w:style w:type="paragraph" w:styleId="a7">
    <w:name w:val="No Spacing"/>
    <w:basedOn w:val="a"/>
    <w:uiPriority w:val="1"/>
    <w:qFormat/>
    <w:rsid w:val="002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414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5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A7F7-6A23-4A90-9170-730250C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Сабко</dc:creator>
  <cp:keywords/>
  <dc:description/>
  <cp:lastModifiedBy>Дмитрий Сабко</cp:lastModifiedBy>
  <cp:revision>7</cp:revision>
  <dcterms:created xsi:type="dcterms:W3CDTF">2018-03-22T15:24:00Z</dcterms:created>
  <dcterms:modified xsi:type="dcterms:W3CDTF">2018-03-22T15:50:00Z</dcterms:modified>
</cp:coreProperties>
</file>